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C7" w:rsidRDefault="004D77C7">
      <w:pPr>
        <w:pStyle w:val="H2"/>
        <w:rPr>
          <w:rFonts w:ascii="Arial" w:hAnsi="Arial"/>
        </w:rPr>
      </w:pPr>
      <w:r>
        <w:rPr>
          <w:rFonts w:ascii="Arial" w:hAnsi="Arial"/>
        </w:rPr>
        <w:t>Ohjeisto toiminimen kirjoittamisesta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OHJEISTO TOIMINIMEN KIRJOITTAMISESTA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1</w:t>
      </w: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Varsinainen toiminimi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 w:rsidRPr="00695400">
        <w:rPr>
          <w:rFonts w:ascii="Arial" w:hAnsi="Arial"/>
          <w:b/>
          <w:sz w:val="24"/>
        </w:rPr>
        <w:t>Yhtiöjärjestyksen perusteella</w:t>
      </w:r>
      <w:r>
        <w:rPr>
          <w:rFonts w:ascii="Arial" w:hAnsi="Arial"/>
          <w:sz w:val="24"/>
        </w:rPr>
        <w:t xml:space="preserve"> on yhtiön toimitusjohtajalla oikeus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kirjoittaa yhtiön toiminimi yksin ja hallituksen jäsenillä kaksi yhdessä.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2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Prokura</w:t>
      </w:r>
    </w:p>
    <w:p w:rsidR="00695400" w:rsidRPr="00695400" w:rsidRDefault="00695400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Prokuralain mukaan voi osakeyhtiön hallitus valtuuttaa määrätyn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henkilön prokuristikseen. Prokuristi saa niissä asioissa, jotka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kuuluvat työnantajan liikkeen harjoittamiseen, toimia tämän puolesta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ja kirjoittaa tämän toiminimen, ei kuitenkaan eräissä kiinteistöihin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liittyvissä oikeustoimissa. Prokura merkitään kaupparekisteriin.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Yhtiömme hallituksen myöntämät prokurat ovat yhteisprokuroita, </w:t>
      </w:r>
    </w:p>
    <w:p w:rsidR="004D77C7" w:rsidRDefault="00695400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jolloin kaksi prokuristia voi</w:t>
      </w:r>
      <w:r w:rsidR="004D77C7">
        <w:rPr>
          <w:rFonts w:ascii="Arial" w:hAnsi="Arial"/>
          <w:sz w:val="24"/>
        </w:rPr>
        <w:t xml:space="preserve"> vain yhdessä kirjoittaa yhtiön </w:t>
      </w:r>
    </w:p>
    <w:p w:rsidR="00695400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toiminimen.</w:t>
      </w:r>
      <w:r w:rsidR="00695400">
        <w:rPr>
          <w:rFonts w:ascii="Arial" w:hAnsi="Arial"/>
          <w:sz w:val="24"/>
        </w:rPr>
        <w:t xml:space="preserve"> </w:t>
      </w:r>
    </w:p>
    <w:p w:rsidR="004D77C7" w:rsidRDefault="00695400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(Prokura voidaan myöntää myös yhdelle henkilölle.)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Prokura voidaan myöntää vain Suomessa tai muussa EU-maassa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asuvalle henkilölle.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2.1</w:t>
      </w: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Sisäinen ohjeisto prokuran käyttämisestä ja myöntämisestä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2.1.1</w:t>
      </w: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Prokuran myöntäminen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Prokura voidaan yhtiössä pääsääntöisesti myöntää yhtiön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toimitusjohtajan esityksestä henkilölle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a)      jonka asema ja tehtävät yhtiössä edellyttävät prokuraa,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ja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b)      joka on ollut yhtiön palveluksessa yhtäjaksoisesti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yli vuoden ajan.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2.1.2</w:t>
      </w: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Mitä prokuran nojalla saa  allekirjoittaa?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Prokuran nojalla allekirjoitettavat asiakirjat tulee rajoittaa yhtiön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kannalta tärkeimpiin asiakirjoihin, kuten hankintasopimukset,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tavallista suuremmat ostosopimukset, yhteistyösopimukset yms.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Kiireellisten toimenpiteiden, kuten kirjallisten reklamaatioiden,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kohdalla voidaan prokuristiedellytyksestä joustaa tärkeissäkin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asiakirjoissa, kunhan toimenpiteille hankitaan jälkikäteinen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hyväksyntä.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Prokuran nojalla saa prokuristi kirjoittaa yhtiön toiminimen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a)      ensimmäisenä prokuristina vain omiin työtehtäviinsä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suoranaisesti ja välittömästi liittyviin asiakirjoihin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b)      toisena prokuristina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ba)     omiin työtehtäviinsä suoranaisesti ja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välittömästi liittyviin asiakirjoihin;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bb)     poikkeuksellisesti omiin työtehtäviinsä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suoranaisesti liittymättömiin asiakirjoihin,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mikäli ei ole saatavissa allekirjoitusta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prokuristilta, jonka työtehtäviin asia liittyy.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Yksiköiden tulee kesälomajärjestelyjä tehdessään huolehtia siitä,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että 2.1.2a kohdan mukainen prokuristi on tavoitettavissa. Mikäli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tästä halutaan poiketa, on järjestelyistä sovittava etukäteen.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Prokuran nojalla allekirjoitettujen papereiden osalta vastaavat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asiakirjan sisällöstä molemmat allekirjoittajat, ensisijaisesti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kuitenkin se, jonka nimi on merkittynä ensimmäiseksi.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Tämän lisäksi vastaa asiakirjan sisällöstä aina myös asiakirjan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laatija.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2.1.3</w:t>
      </w: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Miten toiminimi kirjoitetaan prokuran nojalla?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Allekirjoittaja kirjoittaa nimensä yhtiön nimen alle liittäen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nimikirjoituksensa eteen joko prokuraa osoittavan lyhenteen pp tai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sana per procuram tai prokuristina seuraavasti: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xxxxxxxxxxxxx Oy</w:t>
      </w:r>
    </w:p>
    <w:p w:rsidR="00695400" w:rsidRDefault="00695400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pp allekirjoitus        </w:t>
      </w:r>
      <w:r w:rsidR="0069540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allekirjoitus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(nimenselvennys)        </w:t>
      </w:r>
      <w:r w:rsidR="0069540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(nimenselvennys)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Nimenselvennystä ei rutiiniluontoisiin asiakirjoihin pidetä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välttämättömänä, mutta muissa asiakirjoissa se on suotava.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Yhtiön virallisen allekirjoituksen yhteydessä ei voida tehdä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tulosyksikköä tai osastoa osoittavaa merkintää, vaan tämä tulee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tarvittaessa muuten osoittaa asiakirjoissa.</w:t>
      </w:r>
    </w:p>
    <w:p w:rsidR="00695400" w:rsidRDefault="00695400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2.1.4</w:t>
      </w: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Rajoitukset prokuran käyttöön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a)      Rahaliikenteeseen liittyviä allekirjoituksia ei prokuran nojalla saa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allekirjoittaa, vaan nämä ovat rajoitetut erikseen tilikohtaisesti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nimetyille henkilöille.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b)      Luottolaitoksille ja viranomaisille lähetettävissä luotto-, takuu- ja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valuuttahakemuksissa sekä velkakirjoissa ja takauksissa tulee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ensimmäisen allekirjoittajan olla talousosastolta.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Lueteltuihin asiakirjoihin voi yhtiön hallitus tai talousosasto erikseen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valtuuttaa yksiköltä nimeämänsä henkilöt allekirjoittamaan.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c)      Verottajalle, tuomioistuimille ja keskusvirastoille osoitetuissa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anomuksissa ja hakemuksissa tulee ensimmäisen allekirjoittajan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aina olla talous- tai lakiasiainosastolta.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Esimerkkejä tässä tarkoitetuista asiakirjoista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-       ennakkotietoja koskevat kyselyt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-       haastehakemukset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-       ministeriöille menevät hakemukset.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Pienemmissä, yhtiön kannalta vähempimerkityksellisissä asioissa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voidaan edellisestä 2.1.4c kohdasta tarvittaessa poiketa talous-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/lakiasiainosaston kanssa käydyn keskustelun perusteella.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d)      Toimitusjohtaja voi sisäisin ohjein rajoittaa prokuran käyttöä.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2.1.5</w:t>
      </w: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Haasteiden vastaanotto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Mikäli prokuristi joutuu yhtiön puolesta ottamaan vastaan haasteen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tai muun vastaavan tiedoksiannon, on tämä välittömästi ilmoitettava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yhtiön lakimiehelle, jolloin ilmoituksen tulee sisältää tieto asiasta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samoin kuin siitä henkilöstä, joka haasteen on toimittanut.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3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Asemavaltuutus</w:t>
      </w:r>
    </w:p>
    <w:p w:rsidR="00695400" w:rsidRPr="00695400" w:rsidRDefault="00695400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Yhtiötä sitova oikeustoimi voi syntyä myös asemavaltuutuksen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perusteella. Milloin henkilöllä työsuhteensa perusteella on sellainen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asema, että siihen lain tai yleisen tavan mukaan liittyy kelpoisuus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toimia yhtiön puolesta, katsotaan hänet valtuutetuksi tämän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kelpoisuuden rajoissa tekemään oikeustoimia. Näin syntynyt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oikeustoimi sitoo siis yhtiötä.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Esimerkki: xxxxxxxxxx Oy:n edustaja sopii joko suullisesti tai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kirjallisesti laitekaupasta.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Asemavaltuutuksen perusteella asiakirjoja allekirjoitettaessa on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suotavaa, että allekirjoituksen yhteydessä näkyy myös yhtiön sen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tulosyksikön nimi, esim. seuraavasti:</w:t>
      </w:r>
    </w:p>
    <w:p w:rsidR="00695400" w:rsidRDefault="00695400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</w:t>
      </w:r>
      <w:r w:rsidR="00695400">
        <w:rPr>
          <w:rFonts w:ascii="Arial" w:hAnsi="Arial"/>
          <w:sz w:val="24"/>
        </w:rPr>
        <w:tab/>
      </w:r>
      <w:r w:rsidR="0069540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Ei näin:</w:t>
      </w:r>
    </w:p>
    <w:p w:rsidR="00695400" w:rsidRDefault="00695400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xxxxxxxxxxxxxxxx Oy             </w:t>
      </w:r>
      <w:r w:rsidR="0069540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xxxxxxxxxxxxxxxx Oy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YYYYYYYY (osasto)              </w:t>
      </w:r>
      <w:r w:rsidR="0069540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os. 333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psta allekirjoitus              </w:t>
      </w:r>
      <w:r w:rsidR="00695400">
        <w:rPr>
          <w:rFonts w:ascii="Arial" w:hAnsi="Arial"/>
          <w:sz w:val="24"/>
        </w:rPr>
        <w:tab/>
      </w:r>
      <w:r w:rsidR="0069540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psta allekirjoitus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(nimenselvennys)                </w:t>
      </w:r>
      <w:r w:rsidR="0069540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nimenselvennys)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Asemavaltuuden osalta on kuitenkin huomattava, että yhtiö saattaa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tulla sidotuksi, vaikka allekirjoituksen yhteydessä ei yhtiön nimeä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esiintyisikään.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Rutiiniluonteisten asiakirjojen kuten normaalien tilausten,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lähetteiden, tilastotietojen, maksukehotusten jne. allekirj</w:t>
      </w:r>
      <w:r w:rsidR="00695400">
        <w:rPr>
          <w:rFonts w:ascii="Arial" w:hAnsi="Arial"/>
          <w:sz w:val="24"/>
        </w:rPr>
        <w:t>oitukset ovat</w:t>
      </w:r>
      <w:r>
        <w:rPr>
          <w:rFonts w:ascii="Arial" w:hAnsi="Arial"/>
          <w:sz w:val="24"/>
        </w:rPr>
        <w:t xml:space="preserve">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tarkoituksenmukaista tehdä asemavaltuutuksen nojalla ja rajoittaa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prokuran käyttö tärkeimpiin asiakirjoihin.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4</w:t>
      </w:r>
    </w:p>
    <w:p w:rsidR="004D77C7" w:rsidRPr="00695400" w:rsidRDefault="004D77C7">
      <w:pPr>
        <w:pStyle w:val="Preformatted"/>
        <w:tabs>
          <w:tab w:val="clear" w:pos="9590"/>
        </w:tabs>
        <w:rPr>
          <w:rFonts w:ascii="Arial" w:hAnsi="Arial"/>
          <w:b/>
          <w:sz w:val="24"/>
        </w:rPr>
      </w:pPr>
      <w:r w:rsidRPr="00695400">
        <w:rPr>
          <w:rFonts w:ascii="Arial" w:hAnsi="Arial"/>
          <w:b/>
          <w:sz w:val="24"/>
        </w:rPr>
        <w:t>Allekirjoitusten sitovuus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Sisäisillä rajoituksilla ei voida rajoittaa allekirjoituksen sitovuutta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ulkopuolisiin nähden. Ts. yhtiö tulee aina sidotuksi prokuristien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allekirjoitettua asiakirjan ja asemavaltuutuksen nojalla yhdenkin 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henkilön allekirjoitus riittää sitomaan yhtiön ulkopuoliseen nähden.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695400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Tampere, heinäkuun 28. päivänä 2013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NN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toimitusjohtaja</w:t>
      </w: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</w:p>
    <w:p w:rsidR="004D77C7" w:rsidRDefault="004D77C7">
      <w:pPr>
        <w:pStyle w:val="Preformatted"/>
        <w:tabs>
          <w:tab w:val="clear" w:pos="95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LIITE           Prokuristiluettelo </w:t>
      </w:r>
    </w:p>
    <w:p w:rsidR="00AC0B6B" w:rsidRDefault="00AC0B6B">
      <w:pPr>
        <w:pStyle w:val="Preformatted"/>
        <w:tabs>
          <w:tab w:val="clear" w:pos="9590"/>
        </w:tabs>
      </w:pPr>
    </w:p>
    <w:sectPr w:rsidR="00AC0B6B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5B0BF9"/>
    <w:rsid w:val="004D77C7"/>
    <w:rsid w:val="005B0BF9"/>
    <w:rsid w:val="00695400"/>
    <w:rsid w:val="008349D3"/>
    <w:rsid w:val="00AC0B6B"/>
    <w:rsid w:val="00D5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caps/>
      <w:kern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i/>
      <w:sz w:val="22"/>
      <w:lang w:val="fi-FI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  <w:lang w:val="fi-FI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  <w:lang w:val="fi-FI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  <w:lang w:val="fi-FI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  <w:rPr>
      <w:lang w:val="fi-FI"/>
    </w:rPr>
  </w:style>
  <w:style w:type="paragraph" w:customStyle="1" w:styleId="NormalTimes">
    <w:name w:val="NormalTimes"/>
    <w:basedOn w:val="Normaali"/>
    <w:rPr>
      <w:rFonts w:ascii="Times New Roman" w:hAnsi="Times New Roman"/>
    </w:rPr>
  </w:style>
  <w:style w:type="paragraph" w:customStyle="1" w:styleId="HangingIndent">
    <w:name w:val="Hanging Indent"/>
    <w:basedOn w:val="Normaali"/>
    <w:pPr>
      <w:ind w:left="2608" w:hanging="2608"/>
    </w:pPr>
  </w:style>
  <w:style w:type="paragraph" w:styleId="Yltunniste">
    <w:name w:val="header"/>
    <w:basedOn w:val="Normaali"/>
    <w:semiHidden/>
    <w:rPr>
      <w:lang w:val="fi-FI"/>
    </w:rPr>
  </w:style>
  <w:style w:type="paragraph" w:customStyle="1" w:styleId="Indent">
    <w:name w:val="Indent"/>
    <w:basedOn w:val="Normaali"/>
    <w:pPr>
      <w:ind w:left="2591"/>
    </w:pPr>
  </w:style>
  <w:style w:type="character" w:styleId="Sivunumero">
    <w:name w:val="page number"/>
    <w:basedOn w:val="Kappaleenoletusfontti"/>
    <w:semiHidden/>
  </w:style>
  <w:style w:type="paragraph" w:customStyle="1" w:styleId="List1">
    <w:name w:val="List1"/>
    <w:basedOn w:val="Indent"/>
    <w:pPr>
      <w:tabs>
        <w:tab w:val="left" w:pos="3062"/>
      </w:tabs>
      <w:ind w:left="3005" w:hanging="397"/>
    </w:pPr>
  </w:style>
  <w:style w:type="paragraph" w:styleId="Sisluet2">
    <w:name w:val="toc 2"/>
    <w:basedOn w:val="Normaali"/>
    <w:next w:val="Normaali"/>
    <w:semiHidden/>
    <w:pPr>
      <w:tabs>
        <w:tab w:val="right" w:leader="dot" w:pos="9355"/>
      </w:tabs>
    </w:pPr>
  </w:style>
  <w:style w:type="paragraph" w:customStyle="1" w:styleId="List2">
    <w:name w:val="List2"/>
    <w:basedOn w:val="Indent"/>
    <w:pPr>
      <w:tabs>
        <w:tab w:val="left" w:pos="3062"/>
      </w:tabs>
      <w:ind w:left="3005" w:hanging="397"/>
    </w:pPr>
  </w:style>
  <w:style w:type="paragraph" w:customStyle="1" w:styleId="List3">
    <w:name w:val="List3"/>
    <w:basedOn w:val="Indent"/>
    <w:pPr>
      <w:tabs>
        <w:tab w:val="left" w:pos="3062"/>
      </w:tabs>
      <w:ind w:left="3005" w:hanging="397"/>
    </w:pPr>
  </w:style>
  <w:style w:type="paragraph" w:customStyle="1" w:styleId="List4">
    <w:name w:val="List4"/>
    <w:basedOn w:val="Indent"/>
    <w:pPr>
      <w:tabs>
        <w:tab w:val="left" w:pos="3062"/>
      </w:tabs>
      <w:ind w:left="3005" w:hanging="397"/>
    </w:pPr>
  </w:style>
  <w:style w:type="paragraph" w:styleId="Sisluet1">
    <w:name w:val="toc 1"/>
    <w:basedOn w:val="Normaali"/>
    <w:next w:val="Normaali"/>
    <w:semiHidden/>
    <w:pPr>
      <w:tabs>
        <w:tab w:val="right" w:leader="dot" w:pos="9355"/>
      </w:tabs>
      <w:spacing w:before="240" w:after="240"/>
    </w:pPr>
    <w:rPr>
      <w:b/>
    </w:rPr>
  </w:style>
  <w:style w:type="paragraph" w:styleId="Sisluet3">
    <w:name w:val="toc 3"/>
    <w:basedOn w:val="Normaali"/>
    <w:next w:val="Normaali"/>
    <w:semiHidden/>
    <w:pPr>
      <w:tabs>
        <w:tab w:val="right" w:leader="dot" w:pos="9355"/>
      </w:tabs>
      <w:ind w:left="397"/>
    </w:pPr>
  </w:style>
  <w:style w:type="paragraph" w:styleId="Sisluet4">
    <w:name w:val="toc 4"/>
    <w:basedOn w:val="Normaali"/>
    <w:next w:val="Normaali"/>
    <w:semiHidden/>
    <w:pPr>
      <w:tabs>
        <w:tab w:val="right" w:leader="dot" w:pos="9355"/>
      </w:tabs>
      <w:spacing w:after="120"/>
    </w:pPr>
  </w:style>
  <w:style w:type="paragraph" w:styleId="Sisluet5">
    <w:name w:val="toc 5"/>
    <w:basedOn w:val="Normaali"/>
    <w:next w:val="Normaali"/>
    <w:semiHidden/>
    <w:pPr>
      <w:tabs>
        <w:tab w:val="right" w:leader="dot" w:pos="9355"/>
      </w:tabs>
    </w:pPr>
  </w:style>
  <w:style w:type="paragraph" w:styleId="Sisluet6">
    <w:name w:val="toc 6"/>
    <w:basedOn w:val="Normaali"/>
    <w:next w:val="Normaali"/>
    <w:semiHidden/>
    <w:pPr>
      <w:tabs>
        <w:tab w:val="right" w:leader="dot" w:pos="9355"/>
      </w:tabs>
      <w:ind w:left="1200"/>
    </w:pPr>
  </w:style>
  <w:style w:type="paragraph" w:styleId="Sisluet7">
    <w:name w:val="toc 7"/>
    <w:basedOn w:val="Normaali"/>
    <w:next w:val="Normaali"/>
    <w:semiHidden/>
    <w:pPr>
      <w:tabs>
        <w:tab w:val="right" w:leader="dot" w:pos="9355"/>
      </w:tabs>
      <w:ind w:left="1440"/>
    </w:pPr>
  </w:style>
  <w:style w:type="paragraph" w:styleId="Sisluet8">
    <w:name w:val="toc 8"/>
    <w:basedOn w:val="Normaali"/>
    <w:next w:val="Normaali"/>
    <w:semiHidden/>
    <w:pPr>
      <w:tabs>
        <w:tab w:val="right" w:leader="dot" w:pos="9355"/>
      </w:tabs>
      <w:ind w:left="1680"/>
    </w:pPr>
  </w:style>
  <w:style w:type="paragraph" w:styleId="Sisluet9">
    <w:name w:val="toc 9"/>
    <w:basedOn w:val="Normaali"/>
    <w:next w:val="Normaali"/>
    <w:semiHidden/>
    <w:pPr>
      <w:tabs>
        <w:tab w:val="right" w:leader="dot" w:pos="9355"/>
      </w:tabs>
      <w:ind w:left="1920"/>
    </w:pPr>
  </w:style>
  <w:style w:type="paragraph" w:customStyle="1" w:styleId="H2">
    <w:name w:val="H2"/>
    <w:basedOn w:val="Normaali"/>
    <w:next w:val="Normaali"/>
    <w:pPr>
      <w:keepNext/>
      <w:spacing w:before="100" w:after="100"/>
    </w:pPr>
    <w:rPr>
      <w:rFonts w:ascii="Times New Roman" w:hAnsi="Times New Roman"/>
      <w:b/>
      <w:sz w:val="36"/>
      <w:lang w:val="fi-FI"/>
    </w:rPr>
  </w:style>
  <w:style w:type="paragraph" w:customStyle="1" w:styleId="Preformatted">
    <w:name w:val="Preformatted"/>
    <w:basedOn w:val="Normaali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5762</Characters>
  <Application>Microsoft Office Word</Application>
  <DocSecurity>0</DocSecurity>
  <Lines>48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Ohjeisto toiminimen kirjoittamisesta</vt:lpstr>
      </vt:variant>
      <vt:variant>
        <vt:i4>0</vt:i4>
      </vt:variant>
    </vt:vector>
  </HeadingPairs>
  <TitlesOfParts>
    <vt:vector size="1" baseType="lpstr">
      <vt:lpstr>Ohjeisto toiminimen kirjoittamisesta</vt:lpstr>
    </vt:vector>
  </TitlesOfParts>
  <Company>Kvaerner Pulping Oy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Ohjeisto toiminimen kirjoittamisesta</dc:title>
  <dc:creator>Kvaerner Pulping Oy</dc:creator>
  <cp:lastModifiedBy>Antero Virtanen</cp:lastModifiedBy>
  <cp:revision>2</cp:revision>
  <cp:lastPrinted>2000-10-24T05:05:00Z</cp:lastPrinted>
  <dcterms:created xsi:type="dcterms:W3CDTF">2013-07-29T09:59:00Z</dcterms:created>
  <dcterms:modified xsi:type="dcterms:W3CDTF">2013-07-29T09:59:00Z</dcterms:modified>
</cp:coreProperties>
</file>