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A" w:rsidRDefault="00B36EDE" w:rsidP="00960BA4">
      <w:pPr>
        <w:pStyle w:val="Tyyli2"/>
      </w:pPr>
      <w:r w:rsidRPr="00DE3F62">
        <w:rPr>
          <w:rFonts w:eastAsia="Times New Roman"/>
          <w:lang w:eastAsia="fi-FI"/>
        </w:rPr>
        <w:t>Hallituksen vuosiohjelma (Esimerkki</w:t>
      </w:r>
      <w:r w:rsidR="00E47A6B">
        <w:rPr>
          <w:rFonts w:eastAsia="Times New Roman"/>
          <w:lang w:eastAsia="fi-FI"/>
        </w:rPr>
        <w:t xml:space="preserve"> Oy</w:t>
      </w:r>
      <w:r w:rsidRPr="00DE3F62">
        <w:rPr>
          <w:rFonts w:eastAsia="Times New Roman"/>
          <w:lang w:eastAsia="fi-FI"/>
        </w:rPr>
        <w:t>)</w:t>
      </w:r>
      <w:r w:rsidR="00B97113">
        <w:rPr>
          <w:rFonts w:eastAsia="Times New Roman"/>
          <w:lang w:eastAsia="fi-FI"/>
        </w:rPr>
        <w:t xml:space="preserve"> </w:t>
      </w:r>
      <w:r w:rsidR="00B97113" w:rsidRPr="00B97113">
        <w:rPr>
          <w:rFonts w:eastAsia="Times New Roman"/>
          <w:b w:val="0"/>
          <w:sz w:val="24"/>
          <w:lang w:eastAsia="fi-FI"/>
        </w:rPr>
        <w:t>(vain suuntaa antava esimerkki)</w:t>
      </w:r>
    </w:p>
    <w:tbl>
      <w:tblPr>
        <w:tblW w:w="4725" w:type="pct"/>
        <w:tblCellMar>
          <w:left w:w="70" w:type="dxa"/>
          <w:right w:w="70" w:type="dxa"/>
        </w:tblCellMar>
        <w:tblLook w:val="04A0"/>
      </w:tblPr>
      <w:tblGrid>
        <w:gridCol w:w="1887"/>
        <w:gridCol w:w="2436"/>
        <w:gridCol w:w="3672"/>
        <w:gridCol w:w="3217"/>
        <w:gridCol w:w="3976"/>
      </w:tblGrid>
      <w:tr w:rsidR="00960BA4" w:rsidRPr="00960BA4" w:rsidTr="00960BA4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Kuukaudet</w:t>
            </w:r>
          </w:p>
        </w:tc>
        <w:tc>
          <w:tcPr>
            <w:tcW w:w="802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Vakioasiat</w:t>
            </w:r>
          </w:p>
        </w:tc>
        <w:tc>
          <w:tcPr>
            <w:tcW w:w="1209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 xml:space="preserve">Strategiset </w:t>
            </w: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 xml:space="preserve">asiat:  </w:t>
            </w: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i-FI"/>
              </w:rPr>
              <w:t>Avainmenestystekijät</w:t>
            </w:r>
            <w:proofErr w:type="gramEnd"/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i-FI"/>
              </w:rPr>
              <w:t>, menestyskonsepti, lähtökohtaolettamukset ja riskit</w:t>
            </w:r>
          </w:p>
        </w:tc>
        <w:tc>
          <w:tcPr>
            <w:tcW w:w="1059" w:type="pct"/>
            <w:vMerge w:val="restart"/>
            <w:tcBorders>
              <w:top w:val="single" w:sz="4" w:space="0" w:color="00509E"/>
              <w:left w:val="nil"/>
              <w:bottom w:val="nil"/>
              <w:right w:val="nil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Teema-asiat</w:t>
            </w:r>
          </w:p>
        </w:tc>
        <w:tc>
          <w:tcPr>
            <w:tcW w:w="1309" w:type="pct"/>
            <w:vMerge w:val="restart"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shd w:val="clear" w:color="000000" w:fill="00509E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  <w:t>Satunnaiset tapahtumat</w:t>
            </w:r>
          </w:p>
        </w:tc>
      </w:tr>
      <w:tr w:rsidR="00960BA4" w:rsidRPr="00960BA4" w:rsidTr="00960BA4">
        <w:trPr>
          <w:trHeight w:val="300"/>
        </w:trPr>
        <w:tc>
          <w:tcPr>
            <w:tcW w:w="621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802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20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</w:tr>
      <w:tr w:rsidR="00960BA4" w:rsidRPr="00960BA4" w:rsidTr="00960BA4">
        <w:trPr>
          <w:trHeight w:val="900"/>
        </w:trPr>
        <w:tc>
          <w:tcPr>
            <w:tcW w:w="621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802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20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single" w:sz="4" w:space="0" w:color="00509E"/>
              <w:left w:val="nil"/>
              <w:bottom w:val="nil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single" w:sz="4" w:space="0" w:color="00509E"/>
              <w:left w:val="nil"/>
              <w:bottom w:val="nil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Tammikuu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Suunta</w:t>
            </w:r>
          </w:p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ijät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</w:t>
            </w:r>
          </w:p>
          <w:p w:rsid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Lähtökohtaolettamukset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Riskit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Järjestäytyminen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Vierailu toimittajalla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single" w:sz="4" w:space="0" w:color="00509E"/>
              <w:left w:val="single" w:sz="4" w:space="0" w:color="00509E"/>
              <w:bottom w:val="nil"/>
              <w:right w:val="single" w:sz="4" w:space="0" w:color="00509E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Helmikuu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vAlign w:val="center"/>
            <w:hideMark/>
          </w:tcPr>
          <w:p w:rsid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Strategiset projekti</w:t>
            </w:r>
            <w:proofErr w:type="gram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1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Tilinpäätöksen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esikäs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15.2.2012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Maaliskuu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2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Vakuutusten ja riskien läpikäynti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Tilintarkastaja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tap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B971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Messut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15.3.2012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Huhtikuu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Menestyskonsepti</w:t>
            </w:r>
          </w:p>
          <w:p w:rsidR="00E47A6B" w:rsidRPr="00960BA4" w:rsidRDefault="00E47A6B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Kilpailukyvyn perusteet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Til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npäätöksen hyv.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15.4.2012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Toukokuu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Strategiset projekti</w:t>
            </w:r>
            <w:proofErr w:type="gram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2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3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Strategiapr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Käynnistys</w:t>
            </w:r>
          </w:p>
        </w:tc>
        <w:tc>
          <w:tcPr>
            <w:tcW w:w="1309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Yhteistyökumppanivierailu</w:t>
            </w: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1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15.5.2012</w:t>
            </w:r>
          </w:p>
        </w:tc>
        <w:tc>
          <w:tcPr>
            <w:tcW w:w="802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309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</w:tbl>
    <w:p w:rsidR="00960BA4" w:rsidRDefault="00960BA4">
      <w:r>
        <w:br w:type="page"/>
      </w:r>
    </w:p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tbl>
      <w:tblPr>
        <w:tblW w:w="4696" w:type="pct"/>
        <w:tblCellMar>
          <w:left w:w="70" w:type="dxa"/>
          <w:right w:w="70" w:type="dxa"/>
        </w:tblCellMar>
        <w:tblLook w:val="04A0"/>
      </w:tblPr>
      <w:tblGrid>
        <w:gridCol w:w="1856"/>
        <w:gridCol w:w="2405"/>
        <w:gridCol w:w="3653"/>
        <w:gridCol w:w="3386"/>
        <w:gridCol w:w="3795"/>
      </w:tblGrid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single" w:sz="4" w:space="0" w:color="00509E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Kesäkuu</w:t>
            </w:r>
          </w:p>
        </w:tc>
        <w:tc>
          <w:tcPr>
            <w:tcW w:w="807" w:type="pct"/>
            <w:tcBorders>
              <w:top w:val="single" w:sz="4" w:space="0" w:color="00509E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vAlign w:val="center"/>
            <w:hideMark/>
          </w:tcPr>
          <w:p w:rsidR="00E47A6B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2</w:t>
            </w:r>
          </w:p>
          <w:p w:rsidR="00960BA4" w:rsidRPr="00960BA4" w:rsidRDefault="00E47A6B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Strategian raamit</w:t>
            </w:r>
          </w:p>
        </w:tc>
        <w:tc>
          <w:tcPr>
            <w:tcW w:w="1081" w:type="pct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</w:t>
            </w:r>
          </w:p>
        </w:tc>
        <w:tc>
          <w:tcPr>
            <w:tcW w:w="1267" w:type="pct"/>
            <w:vMerge w:val="restart"/>
            <w:tcBorders>
              <w:top w:val="single" w:sz="4" w:space="0" w:color="00509E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15.6.2012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Elokuu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Strategiset </w:t>
            </w: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yhteistyökump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Strategian viimeistely. Palkitsemisjärjestelmän hyväksyminen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Vierailu tehtaalla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15.7.2012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Syyskuu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E47A6B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Avainmenestystekijä 3</w:t>
            </w:r>
          </w:p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Riskien arviointi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E47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gram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Budjet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ti p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rosess</w:t>
            </w:r>
            <w:r w:rsidR="00E47A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in käynnistämien</w:t>
            </w: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</w:t>
            </w:r>
            <w:proofErr w:type="gramEnd"/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 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/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000000" w:fill="E5F2FF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Marraskuu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Ed. pöytäkirja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vAlign w:val="center"/>
            <w:hideMark/>
          </w:tcPr>
          <w:p w:rsidR="00960BA4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Avainmenestystek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. 4</w:t>
            </w:r>
            <w:r w:rsidR="00960BA4"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 xml:space="preserve"> Lähtökohtaolettamukset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Itsearviointi</w:t>
            </w:r>
            <w:proofErr w:type="spellEnd"/>
          </w:p>
          <w:p w:rsidR="00E47A6B" w:rsidRPr="00960BA4" w:rsidRDefault="00E47A6B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Budjetin hyväksyntä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  <w:t>Lisäperehdyttäminen / koulutus</w:t>
            </w: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Ennuste 7 kaupallinen tilanne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Tj-katsaus</w:t>
            </w:r>
            <w:proofErr w:type="spellEnd"/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nil"/>
              <w:right w:val="nil"/>
            </w:tcBorders>
            <w:vAlign w:val="center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proofErr w:type="spellStart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Operat</w:t>
            </w:r>
            <w:proofErr w:type="spellEnd"/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>. Päätökset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40"/>
        </w:trPr>
        <w:tc>
          <w:tcPr>
            <w:tcW w:w="625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15.11.2012</w:t>
            </w:r>
          </w:p>
        </w:tc>
        <w:tc>
          <w:tcPr>
            <w:tcW w:w="807" w:type="pc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fi-FI"/>
              </w:rPr>
              <w:t xml:space="preserve">Muuta 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 w:val="restart"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shd w:val="clear" w:color="auto" w:fill="auto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  <w:t>Joulukuu</w:t>
            </w:r>
          </w:p>
        </w:tc>
        <w:tc>
          <w:tcPr>
            <w:tcW w:w="4375" w:type="pct"/>
            <w:gridSpan w:val="4"/>
            <w:vMerge w:val="restart"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shd w:val="clear" w:color="000000" w:fill="D8D8D8"/>
            <w:noWrap/>
            <w:vAlign w:val="center"/>
            <w:hideMark/>
          </w:tcPr>
          <w:p w:rsidR="00960BA4" w:rsidRPr="00960BA4" w:rsidRDefault="00960BA4" w:rsidP="00960BA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  <w:r w:rsidRPr="00960BA4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  <w:t>Lomakuukausi</w:t>
            </w: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  <w:tr w:rsidR="00960BA4" w:rsidRPr="00960BA4" w:rsidTr="00960BA4">
        <w:trPr>
          <w:trHeight w:val="276"/>
        </w:trPr>
        <w:tc>
          <w:tcPr>
            <w:tcW w:w="625" w:type="pct"/>
            <w:vMerge/>
            <w:tcBorders>
              <w:top w:val="nil"/>
              <w:left w:val="single" w:sz="4" w:space="0" w:color="00509E"/>
              <w:bottom w:val="single" w:sz="4" w:space="0" w:color="00509E"/>
              <w:right w:val="nil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00509E"/>
                <w:sz w:val="24"/>
                <w:lang w:eastAsia="fi-FI"/>
              </w:rPr>
            </w:pPr>
          </w:p>
        </w:tc>
        <w:tc>
          <w:tcPr>
            <w:tcW w:w="4375" w:type="pct"/>
            <w:gridSpan w:val="4"/>
            <w:vMerge/>
            <w:tcBorders>
              <w:top w:val="single" w:sz="4" w:space="0" w:color="00509E"/>
              <w:left w:val="single" w:sz="4" w:space="0" w:color="00509E"/>
              <w:bottom w:val="single" w:sz="4" w:space="0" w:color="00509E"/>
              <w:right w:val="single" w:sz="4" w:space="0" w:color="00509E"/>
            </w:tcBorders>
            <w:vAlign w:val="bottom"/>
            <w:hideMark/>
          </w:tcPr>
          <w:p w:rsidR="00960BA4" w:rsidRPr="00960BA4" w:rsidRDefault="00960BA4" w:rsidP="00960BA4">
            <w:pPr>
              <w:rPr>
                <w:rFonts w:ascii="Arial" w:eastAsia="Times New Roman" w:hAnsi="Arial" w:cs="Arial"/>
                <w:b/>
                <w:bCs/>
                <w:color w:val="FFFFFF"/>
                <w:szCs w:val="20"/>
                <w:lang w:eastAsia="fi-FI"/>
              </w:rPr>
            </w:pPr>
          </w:p>
        </w:tc>
      </w:tr>
    </w:tbl>
    <w:p w:rsidR="00B36EDE" w:rsidRPr="00BF6266" w:rsidRDefault="00B36EDE" w:rsidP="00825304"/>
    <w:sectPr w:rsidR="00B36EDE" w:rsidRPr="00BF6266" w:rsidSect="00B36EDE">
      <w:headerReference w:type="default" r:id="rId7"/>
      <w:footerReference w:type="default" r:id="rId8"/>
      <w:pgSz w:w="16840" w:h="11900" w:orient="landscape"/>
      <w:pgMar w:top="1276" w:right="57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71" w:rsidRDefault="00FB1771">
      <w:r>
        <w:separator/>
      </w:r>
    </w:p>
  </w:endnote>
  <w:endnote w:type="continuationSeparator" w:id="0">
    <w:p w:rsidR="00FB1771" w:rsidRDefault="00FB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-537210</wp:posOffset>
          </wp:positionH>
          <wp:positionV relativeFrom="page">
            <wp:posOffset>7125970</wp:posOffset>
          </wp:positionV>
          <wp:extent cx="10695940" cy="425450"/>
          <wp:effectExtent l="19050" t="0" r="0" b="0"/>
          <wp:wrapTight wrapText="bothSides">
            <wp:wrapPolygon edited="0">
              <wp:start x="-38" y="0"/>
              <wp:lineTo x="-38" y="20310"/>
              <wp:lineTo x="21582" y="20310"/>
              <wp:lineTo x="21582" y="0"/>
              <wp:lineTo x="-38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9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71" w:rsidRDefault="00FB1771">
      <w:r>
        <w:separator/>
      </w:r>
    </w:p>
  </w:footnote>
  <w:footnote w:type="continuationSeparator" w:id="0">
    <w:p w:rsidR="00FB1771" w:rsidRDefault="00FB1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36EDE"/>
    <w:rsid w:val="00053C09"/>
    <w:rsid w:val="000D0347"/>
    <w:rsid w:val="00145456"/>
    <w:rsid w:val="00172639"/>
    <w:rsid w:val="001A5A3E"/>
    <w:rsid w:val="00212270"/>
    <w:rsid w:val="00212BB3"/>
    <w:rsid w:val="002575C0"/>
    <w:rsid w:val="00263766"/>
    <w:rsid w:val="002B536E"/>
    <w:rsid w:val="003807F8"/>
    <w:rsid w:val="003A7350"/>
    <w:rsid w:val="00404FF8"/>
    <w:rsid w:val="004226E3"/>
    <w:rsid w:val="004A7D36"/>
    <w:rsid w:val="004B102B"/>
    <w:rsid w:val="00584EE8"/>
    <w:rsid w:val="005B2ECD"/>
    <w:rsid w:val="00673A29"/>
    <w:rsid w:val="006B289C"/>
    <w:rsid w:val="006F3B99"/>
    <w:rsid w:val="00770F12"/>
    <w:rsid w:val="00794068"/>
    <w:rsid w:val="007B5E1D"/>
    <w:rsid w:val="00825304"/>
    <w:rsid w:val="00854532"/>
    <w:rsid w:val="00855E53"/>
    <w:rsid w:val="00960BA4"/>
    <w:rsid w:val="009A629A"/>
    <w:rsid w:val="009D012F"/>
    <w:rsid w:val="00AB0A42"/>
    <w:rsid w:val="00B36EDE"/>
    <w:rsid w:val="00B446E5"/>
    <w:rsid w:val="00B97113"/>
    <w:rsid w:val="00BB6A81"/>
    <w:rsid w:val="00BF6266"/>
    <w:rsid w:val="00C30602"/>
    <w:rsid w:val="00DA7945"/>
    <w:rsid w:val="00DE3F62"/>
    <w:rsid w:val="00E47A6B"/>
    <w:rsid w:val="00E66A83"/>
    <w:rsid w:val="00EC4F2C"/>
    <w:rsid w:val="00F66FB2"/>
    <w:rsid w:val="00FB17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1</TotalTime>
  <Pages>2</Pages>
  <Words>231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2106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2</cp:revision>
  <cp:lastPrinted>2011-08-11T08:48:00Z</cp:lastPrinted>
  <dcterms:created xsi:type="dcterms:W3CDTF">2013-07-29T10:18:00Z</dcterms:created>
  <dcterms:modified xsi:type="dcterms:W3CDTF">2013-07-29T10:18:00Z</dcterms:modified>
</cp:coreProperties>
</file>